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45D331E2"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B9228A" w:rsidRPr="00FC40BF">
        <w:rPr>
          <w:rFonts w:ascii="Arial" w:eastAsia="SimSun" w:hAnsi="Arial" w:cs="Arial"/>
          <w:b/>
          <w:kern w:val="2"/>
          <w:sz w:val="22"/>
          <w:szCs w:val="22"/>
          <w:lang w:val="en-US" w:eastAsia="zh-CN"/>
        </w:rPr>
        <w:t>1</w:t>
      </w:r>
      <w:r w:rsidR="001F5BA1" w:rsidRPr="00FC40BF">
        <w:rPr>
          <w:rFonts w:ascii="Arial" w:eastAsia="SimSun" w:hAnsi="Arial" w:cs="Arial"/>
          <w:b/>
          <w:kern w:val="2"/>
          <w:sz w:val="22"/>
          <w:szCs w:val="22"/>
          <w:lang w:val="en-US" w:eastAsia="zh-CN"/>
        </w:rPr>
        <w:t>9</w:t>
      </w:r>
      <w:r w:rsidR="00B83BFA">
        <w:rPr>
          <w:rFonts w:ascii="Arial" w:eastAsia="SimSun" w:hAnsi="Arial" w:cs="Arial"/>
          <w:b/>
          <w:kern w:val="2"/>
          <w:sz w:val="22"/>
          <w:szCs w:val="22"/>
          <w:lang w:val="en-US" w:eastAsia="zh-CN"/>
        </w:rPr>
        <w:t>bis-e</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220</w:t>
      </w:r>
      <w:r w:rsidR="003E77F4">
        <w:rPr>
          <w:rFonts w:ascii="Arial" w:eastAsia="SimSun" w:hAnsi="Arial" w:cs="Arial"/>
          <w:b/>
          <w:kern w:val="2"/>
          <w:sz w:val="22"/>
          <w:szCs w:val="22"/>
          <w:lang w:val="en-US" w:eastAsia="zh-CN"/>
        </w:rPr>
        <w:t>9444</w:t>
      </w:r>
    </w:p>
    <w:p w14:paraId="03096DEE" w14:textId="56DD7796" w:rsidR="00B9228A" w:rsidRPr="00FC40BF" w:rsidRDefault="001F5BA1"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Online</w:t>
      </w:r>
      <w:r w:rsidR="00B9228A" w:rsidRPr="00FC40BF">
        <w:rPr>
          <w:rFonts w:ascii="Arial" w:eastAsia="SimSun" w:hAnsi="Arial" w:cs="Arial"/>
          <w:b/>
          <w:kern w:val="2"/>
          <w:sz w:val="22"/>
          <w:szCs w:val="22"/>
          <w:lang w:val="en-US" w:eastAsia="zh-CN"/>
        </w:rPr>
        <w:t xml:space="preserve">, </w:t>
      </w:r>
      <w:r w:rsidR="00B83BFA">
        <w:rPr>
          <w:rFonts w:ascii="Arial" w:eastAsia="SimSun" w:hAnsi="Arial" w:cs="Arial"/>
          <w:b/>
          <w:kern w:val="2"/>
          <w:sz w:val="22"/>
          <w:szCs w:val="22"/>
          <w:lang w:val="en-US" w:eastAsia="zh-CN"/>
        </w:rPr>
        <w:t>October</w:t>
      </w:r>
      <w:r w:rsidR="00B9228A" w:rsidRPr="00FC40BF">
        <w:rPr>
          <w:rFonts w:ascii="Arial" w:eastAsia="SimSun" w:hAnsi="Arial" w:cs="Arial"/>
          <w:b/>
          <w:kern w:val="2"/>
          <w:sz w:val="22"/>
          <w:szCs w:val="22"/>
          <w:lang w:val="en-US" w:eastAsia="zh-CN"/>
        </w:rPr>
        <w:t xml:space="preserve"> </w:t>
      </w:r>
      <w:r w:rsidRPr="00FC40BF">
        <w:rPr>
          <w:rFonts w:ascii="Arial" w:eastAsia="SimSun" w:hAnsi="Arial" w:cs="Arial"/>
          <w:b/>
          <w:kern w:val="2"/>
          <w:sz w:val="22"/>
          <w:szCs w:val="22"/>
          <w:lang w:val="en-US" w:eastAsia="zh-CN"/>
        </w:rPr>
        <w:t>1</w:t>
      </w:r>
      <w:r w:rsidR="00B83BFA">
        <w:rPr>
          <w:rFonts w:ascii="Arial" w:eastAsia="SimSun" w:hAnsi="Arial" w:cs="Arial"/>
          <w:b/>
          <w:kern w:val="2"/>
          <w:sz w:val="22"/>
          <w:szCs w:val="22"/>
          <w:lang w:val="en-US" w:eastAsia="zh-CN"/>
        </w:rPr>
        <w:t>0</w:t>
      </w:r>
      <w:r w:rsidRPr="00FC40BF">
        <w:rPr>
          <w:rFonts w:ascii="Arial" w:eastAsia="SimSun" w:hAnsi="Arial" w:cs="Arial"/>
          <w:b/>
          <w:kern w:val="2"/>
          <w:sz w:val="22"/>
          <w:szCs w:val="22"/>
          <w:vertAlign w:val="superscript"/>
          <w:lang w:val="en-US" w:eastAsia="zh-CN"/>
        </w:rPr>
        <w:t>th</w:t>
      </w:r>
      <w:r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sidR="00B83BFA">
        <w:rPr>
          <w:rFonts w:ascii="Arial" w:eastAsia="SimSun" w:hAnsi="Arial" w:cs="Arial"/>
          <w:b/>
          <w:kern w:val="2"/>
          <w:sz w:val="22"/>
          <w:szCs w:val="22"/>
          <w:lang w:val="en-US" w:eastAsia="zh-CN"/>
        </w:rPr>
        <w:t>19</w:t>
      </w:r>
      <w:r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2022</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(similar to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Pending on the conclusion of the RAN SI FS_NR_NTN_netw_verif_UE_loc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7777777" w:rsidR="00A158AA" w:rsidRPr="00DF3A8A" w:rsidRDefault="00A158AA" w:rsidP="00521CB4">
      <w:pPr>
        <w:spacing w:after="120"/>
        <w:jc w:val="both"/>
        <w:rPr>
          <w:color w:val="000000" w:themeColor="text1"/>
          <w:sz w:val="20"/>
          <w:lang w:val="en-US" w:eastAsia="fr-FR"/>
        </w:rPr>
      </w:pPr>
    </w:p>
    <w:p w14:paraId="68D48F56" w14:textId="1051269D"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 and their relative merits.</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w:t>
      </w:r>
      <w:r w:rsidRPr="00DF3A8A">
        <w:rPr>
          <w:rFonts w:ascii="Times New Roman" w:eastAsia="Batang" w:hAnsi="Times New Roman" w:cs="Times New Roman"/>
          <w:bCs w:val="0"/>
          <w:lang w:val="en-US" w:eastAsia="ko-KR"/>
        </w:rPr>
        <w:t xml:space="preserve">Multiple RTT solutions for network verified UE location for NR NTN </w:t>
      </w:r>
    </w:p>
    <w:p w14:paraId="4EDDAF58" w14:textId="0B7C340E"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Multiple RTT method is illustrated in Figure 1. It requires RTT between UE and a single satellite to be determined at different times. The RTTs could be determined by the UE using its location and the satellite ephemeris to calculate the UE-specific TA at time t</w:t>
      </w:r>
      <w:r w:rsidRPr="00DF3A8A">
        <w:rPr>
          <w:rFonts w:eastAsiaTheme="minorEastAsia"/>
          <w:sz w:val="20"/>
          <w:vertAlign w:val="subscript"/>
          <w:lang w:eastAsia="zh-CN"/>
        </w:rPr>
        <w:t>0</w:t>
      </w:r>
      <w:r w:rsidRPr="00DF3A8A">
        <w:rPr>
          <w:rFonts w:eastAsiaTheme="minorEastAsia"/>
          <w:sz w:val="20"/>
          <w:lang w:eastAsia="zh-CN"/>
        </w:rPr>
        <w:t>, t</w:t>
      </w:r>
      <w:r w:rsidRPr="00DF3A8A">
        <w:rPr>
          <w:rFonts w:eastAsiaTheme="minorEastAsia"/>
          <w:sz w:val="20"/>
          <w:vertAlign w:val="subscript"/>
          <w:lang w:eastAsia="zh-CN"/>
        </w:rPr>
        <w:t>1</w:t>
      </w:r>
      <w:r w:rsidRPr="00DF3A8A">
        <w:rPr>
          <w:rFonts w:eastAsiaTheme="minorEastAsia"/>
          <w:sz w:val="20"/>
          <w:lang w:eastAsia="zh-CN"/>
        </w:rPr>
        <w:t>, t</w:t>
      </w:r>
      <w:r w:rsidRPr="00DF3A8A">
        <w:rPr>
          <w:rFonts w:eastAsiaTheme="minorEastAsia"/>
          <w:sz w:val="20"/>
          <w:vertAlign w:val="subscript"/>
          <w:lang w:eastAsia="zh-CN"/>
        </w:rPr>
        <w:t>2</w:t>
      </w:r>
      <w:r w:rsidRPr="00DF3A8A">
        <w:rPr>
          <w:rFonts w:eastAsiaTheme="minorEastAsia"/>
          <w:sz w:val="20"/>
          <w:lang w:eastAsia="zh-CN"/>
        </w:rPr>
        <w:t>, t</w:t>
      </w:r>
      <w:r w:rsidRPr="00DF3A8A">
        <w:rPr>
          <w:rFonts w:eastAsiaTheme="minorEastAsia"/>
          <w:sz w:val="20"/>
          <w:vertAlign w:val="subscript"/>
          <w:lang w:eastAsia="zh-CN"/>
        </w:rPr>
        <w:t>3</w:t>
      </w:r>
      <w:r w:rsidRPr="00DF3A8A">
        <w:rPr>
          <w:rFonts w:eastAsiaTheme="minorEastAsia"/>
          <w:sz w:val="20"/>
          <w:lang w:eastAsia="zh-CN"/>
        </w:rPr>
        <w:t xml:space="preserve"> and reporting these to the network</w:t>
      </w:r>
      <w:r w:rsidRPr="00DF3A8A">
        <w:rPr>
          <w:rFonts w:eastAsiaTheme="minorEastAsia"/>
          <w:sz w:val="20"/>
          <w:lang w:eastAsia="zh-CN"/>
        </w:rPr>
        <w:t xml:space="preserve">. On the other hand, it could also be determined </w:t>
      </w:r>
      <w:r w:rsidRPr="00DF3A8A">
        <w:rPr>
          <w:rFonts w:eastAsiaTheme="minorEastAsia"/>
          <w:sz w:val="20"/>
          <w:lang w:eastAsia="zh-CN"/>
        </w:rPr>
        <w:t>by gNB and UE</w:t>
      </w:r>
      <w:r w:rsidRPr="00DF3A8A">
        <w:rPr>
          <w:rFonts w:eastAsiaTheme="minorEastAsia"/>
          <w:sz w:val="20"/>
          <w:lang w:eastAsia="zh-CN"/>
        </w:rPr>
        <w:t xml:space="preserve"> together</w:t>
      </w:r>
      <w:r w:rsidRPr="00DF3A8A">
        <w:rPr>
          <w:rFonts w:eastAsiaTheme="minorEastAsia"/>
          <w:sz w:val="20"/>
          <w:lang w:eastAsia="zh-CN"/>
        </w:rPr>
        <w:t xml:space="preserve">, where serving </w:t>
      </w:r>
      <w:r w:rsidRPr="00DF3A8A">
        <w:rPr>
          <w:rFonts w:eastAsiaTheme="minorEastAsia"/>
          <w:sz w:val="20"/>
          <w:lang w:eastAsia="zh-CN"/>
        </w:rPr>
        <w:t>gNB</w:t>
      </w:r>
      <w:r w:rsidRPr="00DF3A8A">
        <w:rPr>
          <w:rFonts w:eastAsiaTheme="minorEastAsia"/>
          <w:sz w:val="20"/>
          <w:lang w:eastAsia="zh-CN"/>
        </w:rPr>
        <w:t xml:space="preserve"> measures its gNB Rx-Tx time difference from SRS and reports it to LMF  (since UE applies UE pre-compensation before transmitting SRS, the UE-specific TA needs to be also reported for determination of the RTT); and where UE measures and reports its UE Rx-Tx time difference from PRS and reports it to the LMF.  The measured timing difference at eNB and at UE allow the calculation of the RTT at the LMF. </w:t>
      </w:r>
    </w:p>
    <w:p w14:paraId="299C9DA2" w14:textId="77777777" w:rsidR="00DF3A8A" w:rsidRDefault="00DF3A8A" w:rsidP="00DF3A8A">
      <w:pPr>
        <w:spacing w:after="120"/>
        <w:jc w:val="center"/>
        <w:rPr>
          <w:rFonts w:eastAsiaTheme="minorEastAsia"/>
          <w:sz w:val="22"/>
          <w:szCs w:val="22"/>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0FBF8D51" wp14:editId="429D26AE">
                <wp:simplePos x="0" y="0"/>
                <wp:positionH relativeFrom="column">
                  <wp:posOffset>854710</wp:posOffset>
                </wp:positionH>
                <wp:positionV relativeFrom="paragraph">
                  <wp:posOffset>183515</wp:posOffset>
                </wp:positionV>
                <wp:extent cx="3900805" cy="2529205"/>
                <wp:effectExtent l="0" t="0" r="23495"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2529205"/>
                        </a:xfrm>
                        <a:prstGeom prst="rect">
                          <a:avLst/>
                        </a:prstGeom>
                        <a:solidFill>
                          <a:srgbClr val="FFFFFF"/>
                        </a:solidFill>
                        <a:ln w="9525">
                          <a:solidFill>
                            <a:srgbClr val="000000"/>
                          </a:solidFill>
                          <a:miter lim="800000"/>
                          <a:headEnd/>
                          <a:tailEnd/>
                        </a:ln>
                      </wps:spPr>
                      <wps:txbx>
                        <w:txbxContent>
                          <w:p w14:paraId="6FECD3D2" w14:textId="77777777" w:rsidR="00DF3A8A" w:rsidRDefault="00DF3A8A" w:rsidP="00DF3A8A">
                            <w:r w:rsidRPr="00F25140">
                              <w:rPr>
                                <w:noProof/>
                              </w:rPr>
                              <w:drawing>
                                <wp:inline distT="0" distB="0" distL="0" distR="0" wp14:anchorId="355AC9F0" wp14:editId="7701D606">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F8D51" id="_x0000_t202" coordsize="21600,21600" o:spt="202" path="m,l,21600r21600,l21600,xe">
                <v:stroke joinstyle="miter"/>
                <v:path gradientshapeok="t" o:connecttype="rect"/>
              </v:shapetype>
              <v:shape id="Text Box 2" o:spid="_x0000_s1026" type="#_x0000_t202" style="position:absolute;left:0;text-align:left;margin-left:67.3pt;margin-top:14.45pt;width:307.15pt;height:19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">
                <v:textbox>
                  <w:txbxContent>
                    <w:p w14:paraId="6FECD3D2" w14:textId="77777777" w:rsidR="00DF3A8A" w:rsidRDefault="00DF3A8A" w:rsidP="00DF3A8A">
                      <w:r w:rsidRPr="00F25140">
                        <w:rPr>
                          <w:noProof/>
                        </w:rPr>
                        <w:drawing>
                          <wp:inline distT="0" distB="0" distL="0" distR="0" wp14:anchorId="355AC9F0" wp14:editId="7701D606">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v:textbox>
                <w10:wrap type="square"/>
              </v:shape>
            </w:pict>
          </mc:Fallback>
        </mc:AlternateContent>
      </w:r>
    </w:p>
    <w:p w14:paraId="78582172" w14:textId="77777777" w:rsidR="00DF3A8A" w:rsidRDefault="00DF3A8A" w:rsidP="00DF3A8A">
      <w:pPr>
        <w:spacing w:after="120"/>
        <w:jc w:val="center"/>
        <w:rPr>
          <w:rFonts w:eastAsiaTheme="minorEastAsia"/>
          <w:sz w:val="22"/>
          <w:szCs w:val="22"/>
          <w:lang w:eastAsia="zh-CN"/>
        </w:rPr>
      </w:pPr>
    </w:p>
    <w:p w14:paraId="68080B32" w14:textId="77777777" w:rsidR="00DF3A8A" w:rsidRDefault="00DF3A8A" w:rsidP="00DF3A8A">
      <w:pPr>
        <w:spacing w:after="120"/>
        <w:jc w:val="center"/>
        <w:rPr>
          <w:rFonts w:eastAsiaTheme="minorEastAsia"/>
          <w:sz w:val="22"/>
          <w:szCs w:val="22"/>
          <w:lang w:eastAsia="zh-CN"/>
        </w:rPr>
      </w:pPr>
    </w:p>
    <w:p w14:paraId="17A275E0" w14:textId="77777777" w:rsidR="00DF3A8A" w:rsidRDefault="00DF3A8A" w:rsidP="00DF3A8A">
      <w:pPr>
        <w:spacing w:after="120"/>
        <w:jc w:val="center"/>
        <w:rPr>
          <w:rFonts w:eastAsiaTheme="minorEastAsia"/>
          <w:sz w:val="22"/>
          <w:szCs w:val="22"/>
          <w:lang w:eastAsia="zh-CN"/>
        </w:rPr>
      </w:pPr>
    </w:p>
    <w:p w14:paraId="4E90DDC1" w14:textId="77777777" w:rsidR="00DF3A8A" w:rsidRDefault="00DF3A8A" w:rsidP="00DF3A8A">
      <w:pPr>
        <w:spacing w:after="120"/>
        <w:jc w:val="center"/>
        <w:rPr>
          <w:rFonts w:eastAsiaTheme="minorEastAsia"/>
          <w:sz w:val="22"/>
          <w:szCs w:val="22"/>
          <w:lang w:eastAsia="zh-CN"/>
        </w:rPr>
      </w:pPr>
    </w:p>
    <w:p w14:paraId="2698049D" w14:textId="77777777" w:rsidR="00DF3A8A" w:rsidRDefault="00DF3A8A" w:rsidP="00DF3A8A">
      <w:pPr>
        <w:spacing w:after="120"/>
        <w:jc w:val="center"/>
        <w:rPr>
          <w:rFonts w:eastAsiaTheme="minorEastAsia"/>
          <w:sz w:val="22"/>
          <w:szCs w:val="22"/>
          <w:lang w:eastAsia="zh-CN"/>
        </w:rPr>
      </w:pPr>
    </w:p>
    <w:p w14:paraId="30F5CA29" w14:textId="77777777" w:rsidR="00DF3A8A" w:rsidRDefault="00DF3A8A" w:rsidP="00DF3A8A">
      <w:pPr>
        <w:spacing w:after="120"/>
        <w:jc w:val="center"/>
        <w:rPr>
          <w:rFonts w:eastAsiaTheme="minorEastAsia"/>
          <w:sz w:val="22"/>
          <w:szCs w:val="22"/>
          <w:lang w:eastAsia="zh-CN"/>
        </w:rPr>
      </w:pPr>
    </w:p>
    <w:p w14:paraId="6059598A" w14:textId="77777777" w:rsidR="00DF3A8A" w:rsidRDefault="00DF3A8A" w:rsidP="00DF3A8A">
      <w:pPr>
        <w:spacing w:after="120"/>
        <w:jc w:val="center"/>
        <w:rPr>
          <w:rFonts w:eastAsiaTheme="minorEastAsia"/>
          <w:sz w:val="22"/>
          <w:szCs w:val="22"/>
          <w:lang w:eastAsia="zh-CN"/>
        </w:rPr>
      </w:pPr>
    </w:p>
    <w:p w14:paraId="5ECCEA62" w14:textId="77777777" w:rsidR="00DF3A8A" w:rsidRDefault="00DF3A8A" w:rsidP="00DF3A8A">
      <w:pPr>
        <w:spacing w:after="120"/>
        <w:jc w:val="center"/>
        <w:rPr>
          <w:rFonts w:eastAsiaTheme="minorEastAsia"/>
          <w:sz w:val="22"/>
          <w:szCs w:val="22"/>
          <w:lang w:eastAsia="zh-CN"/>
        </w:rPr>
      </w:pPr>
    </w:p>
    <w:p w14:paraId="764896FA" w14:textId="77777777" w:rsidR="00DF3A8A" w:rsidRDefault="00DF3A8A" w:rsidP="00DF3A8A">
      <w:pPr>
        <w:spacing w:after="120"/>
        <w:jc w:val="center"/>
        <w:rPr>
          <w:rFonts w:eastAsiaTheme="minorEastAsia"/>
          <w:sz w:val="22"/>
          <w:szCs w:val="22"/>
          <w:lang w:eastAsia="zh-CN"/>
        </w:rPr>
      </w:pPr>
    </w:p>
    <w:p w14:paraId="59D4EBCE" w14:textId="77777777" w:rsidR="00DF3A8A" w:rsidRDefault="00DF3A8A" w:rsidP="00DF3A8A">
      <w:pPr>
        <w:spacing w:after="120"/>
        <w:jc w:val="center"/>
        <w:rPr>
          <w:rFonts w:eastAsiaTheme="minorEastAsia"/>
          <w:sz w:val="22"/>
          <w:szCs w:val="22"/>
          <w:lang w:eastAsia="zh-CN"/>
        </w:rPr>
      </w:pPr>
    </w:p>
    <w:p w14:paraId="586728C2" w14:textId="77777777" w:rsidR="00DF3A8A" w:rsidRDefault="00DF3A8A" w:rsidP="00DF3A8A">
      <w:pPr>
        <w:spacing w:after="120"/>
        <w:jc w:val="center"/>
        <w:rPr>
          <w:sz w:val="22"/>
          <w:szCs w:val="22"/>
        </w:rPr>
      </w:pPr>
    </w:p>
    <w:p w14:paraId="08937C09" w14:textId="77777777" w:rsidR="00DF3A8A" w:rsidRDefault="00DF3A8A" w:rsidP="00DF3A8A">
      <w:pPr>
        <w:spacing w:after="120"/>
        <w:jc w:val="center"/>
        <w:rPr>
          <w:sz w:val="22"/>
          <w:szCs w:val="22"/>
        </w:rPr>
      </w:pPr>
      <w:r>
        <w:rPr>
          <w:sz w:val="22"/>
          <w:szCs w:val="22"/>
        </w:rPr>
        <w:t>Figure 1: Multiple RTT positioning with single satellite</w:t>
      </w:r>
    </w:p>
    <w:p w14:paraId="1D0A2BC8" w14:textId="77777777" w:rsidR="00DF3A8A" w:rsidRDefault="00DF3A8A" w:rsidP="00DF3A8A">
      <w:pPr>
        <w:spacing w:after="120"/>
        <w:jc w:val="both"/>
        <w:rPr>
          <w:rFonts w:eastAsiaTheme="minorEastAsia"/>
          <w:sz w:val="22"/>
          <w:szCs w:val="22"/>
          <w:u w:val="single"/>
          <w:lang w:eastAsia="zh-CN"/>
        </w:rPr>
      </w:pP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r w:rsidRPr="00DF3A8A">
        <w:rPr>
          <w:rFonts w:eastAsiaTheme="minorEastAsia"/>
          <w:sz w:val="20"/>
          <w:lang w:eastAsia="zh-CN"/>
        </w:rPr>
        <w:t xml:space="preserve"> </w:t>
      </w:r>
      <w:r w:rsidRPr="00DF3A8A">
        <w:rPr>
          <w:rFonts w:eastAsiaTheme="minorEastAsia"/>
          <w:sz w:val="20"/>
          <w:lang w:eastAsia="zh-CN"/>
        </w:rPr>
        <w:t>The UE may require measurement gaps to perform the Multi-RTT measurements from NR TRPs.</w:t>
      </w:r>
      <w:r w:rsidRPr="00DF3A8A">
        <w:rPr>
          <w:rFonts w:eastAsiaTheme="minorEastAsia"/>
          <w:sz w:val="20"/>
          <w:lang w:eastAsia="zh-CN"/>
        </w:rPr>
        <w:t xml:space="preserve">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Multiple-RTT method can be used in multi-satellite or single satellite for LEO and MEO satellite constellations. It can be used for GEO with some compromise</w:t>
      </w:r>
      <w:r w:rsidRPr="00DF3A8A">
        <w:rPr>
          <w:rFonts w:eastAsiaTheme="minorEastAsia"/>
          <w:sz w:val="20"/>
          <w:lang w:eastAsia="zh-CN"/>
        </w:rPr>
        <w:t>,</w:t>
      </w:r>
      <w:r w:rsidRPr="00DF3A8A">
        <w:rPr>
          <w:rFonts w:eastAsiaTheme="minorEastAsia"/>
          <w:sz w:val="20"/>
          <w:lang w:eastAsia="zh-CN"/>
        </w:rPr>
        <w:t xml:space="preserv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RAN2 specified UE-specific TA MAC CE consists of only one field with length 14 bits (+ 2 reserved bits), which contains the UE estimate of full UE-specific TA. The granularity of the UE-specific TA report is 1 ms. It is necessary to discuss finer accuracy</w:t>
      </w:r>
      <w:r w:rsidRPr="00DF3A8A">
        <w:rPr>
          <w:rFonts w:eastAsiaTheme="minorEastAsia"/>
          <w:sz w:val="20"/>
          <w:lang w:eastAsia="zh-CN"/>
        </w:rPr>
        <w:t>,</w:t>
      </w:r>
      <w:r w:rsidRPr="00DF3A8A">
        <w:rPr>
          <w:rFonts w:eastAsiaTheme="minorEastAsia"/>
          <w:sz w:val="20"/>
          <w:lang w:eastAsia="zh-CN"/>
        </w:rPr>
        <w:t xml:space="preserve"> as 1 ms granularity would lead to very large position error for each TA report (1 ms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RAN1/</w:t>
      </w:r>
      <w:r w:rsidRPr="00DF3A8A">
        <w:rPr>
          <w:rFonts w:eastAsiaTheme="minorEastAsia"/>
          <w:sz w:val="20"/>
          <w:lang w:eastAsia="zh-CN"/>
        </w:rPr>
        <w:t xml:space="preserve">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369F22D8" w14:textId="2724F606"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Proposal 1</w:t>
      </w:r>
      <w:r w:rsidRPr="00DF3A8A">
        <w:rPr>
          <w:rFonts w:eastAsiaTheme="minorEastAsia"/>
          <w:sz w:val="20"/>
          <w:lang w:eastAsia="zh-CN"/>
        </w:rPr>
        <w:t xml:space="preserve">: </w:t>
      </w:r>
      <w:r w:rsidRPr="00DF3A8A">
        <w:rPr>
          <w:rFonts w:eastAsiaTheme="minorEastAsia"/>
          <w:b/>
          <w:bCs/>
          <w:sz w:val="20"/>
          <w:lang w:eastAsia="zh-CN"/>
        </w:rPr>
        <w:t>Support solution with multiple-RTT with prediction based on UE-specific TA report</w:t>
      </w:r>
      <w:r w:rsidRPr="00DF3A8A">
        <w:rPr>
          <w:rFonts w:eastAsiaTheme="minorEastAsia"/>
          <w:sz w:val="20"/>
          <w:lang w:eastAsia="zh-CN"/>
        </w:rPr>
        <w:t>.</w:t>
      </w:r>
    </w:p>
    <w:p w14:paraId="31B2997C" w14:textId="058C4870" w:rsidR="00DF3A8A" w:rsidRPr="00DF3A8A" w:rsidRDefault="00DF3A8A" w:rsidP="00DF3A8A">
      <w:pPr>
        <w:spacing w:after="120"/>
        <w:jc w:val="both"/>
        <w:rPr>
          <w:rFonts w:eastAsiaTheme="minorEastAsia"/>
          <w:sz w:val="20"/>
          <w:lang w:eastAsia="zh-CN"/>
        </w:rPr>
      </w:pPr>
    </w:p>
    <w:p w14:paraId="71C39D6B" w14:textId="6F0A9EE5"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Proposal 2</w:t>
      </w:r>
      <w:r w:rsidRPr="00DF3A8A">
        <w:rPr>
          <w:rFonts w:eastAsiaTheme="minorEastAsia"/>
          <w:sz w:val="20"/>
          <w:lang w:eastAsia="zh-CN"/>
        </w:rPr>
        <w:t xml:space="preserve">: </w:t>
      </w:r>
      <w:r w:rsidRPr="00DF3A8A">
        <w:rPr>
          <w:rFonts w:eastAsiaTheme="minorEastAsia"/>
          <w:b/>
          <w:bCs/>
          <w:sz w:val="20"/>
          <w:lang w:eastAsia="zh-CN"/>
        </w:rPr>
        <w:t xml:space="preserve">If Proposal 1 is agreed then </w:t>
      </w:r>
      <w:r w:rsidRPr="00DF3A8A">
        <w:rPr>
          <w:rFonts w:eastAsiaTheme="minorEastAsia"/>
          <w:b/>
          <w:bCs/>
          <w:sz w:val="20"/>
          <w:lang w:eastAsia="zh-CN"/>
        </w:rPr>
        <w:t>RAN2 should discuss a procedure where the UE is configured to transmit UE-specific TA reports several times for a serving cell over a short period of time immediately after moving to connected</w:t>
      </w:r>
      <w:r w:rsidRPr="00DF3A8A">
        <w:rPr>
          <w:rFonts w:eastAsiaTheme="minorEastAsia"/>
          <w:b/>
          <w:bCs/>
          <w:sz w:val="20"/>
          <w:lang w:eastAsia="zh-CN"/>
        </w:rPr>
        <w:t>.</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w:t>
      </w:r>
      <w:r>
        <w:rPr>
          <w:rFonts w:ascii="Times New Roman" w:hAnsi="Times New Roman"/>
          <w:b/>
          <w:sz w:val="22"/>
          <w:szCs w:val="22"/>
        </w:rPr>
        <w:t xml:space="preserve">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gNB cannot estimate ToA from SRS transmission alone as it has no way of knowing UE-specific TA unless it is reported. If UE reports the UE-specific TA with high accuracy, it is not clear what benefit there is in UE transmitting SRS as the ToA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xml:space="preserve">: This method can be used at least for multiple satellites for LEO and MEO. To our understanding, legacy OTDOA positioning requires a Timing of Arrival (ToA) of a reference serving cell and the ToAs of several cells measured at the UE. The UE keeps synchronized to serving satellite on DL. RAN1 can further discuss applicability of method for single satellite scenario. In particular, how the UE can determine the ToA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and also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ToA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4455080E" w14:textId="688023DB" w:rsidR="00C61D51" w:rsidRPr="00DF3A8A" w:rsidRDefault="00DF3A8A" w:rsidP="00C61D51">
      <w:pPr>
        <w:pBdr>
          <w:bottom w:val="single" w:sz="6" w:space="1" w:color="auto"/>
        </w:pBdr>
        <w:spacing w:after="120"/>
        <w:jc w:val="both"/>
        <w:rPr>
          <w:rFonts w:eastAsiaTheme="minorEastAsia"/>
          <w:sz w:val="20"/>
          <w:lang w:eastAsia="zh-CN"/>
        </w:rPr>
      </w:pPr>
      <w:r w:rsidRPr="00DF3A8A">
        <w:rPr>
          <w:rFonts w:eastAsiaTheme="minorEastAsia"/>
          <w:b/>
          <w:bCs/>
          <w:sz w:val="20"/>
          <w:lang w:eastAsia="zh-CN"/>
        </w:rPr>
        <w:t>Proposal 1</w:t>
      </w:r>
      <w:r w:rsidRPr="00DF3A8A">
        <w:rPr>
          <w:rFonts w:eastAsiaTheme="minorEastAsia"/>
          <w:sz w:val="20"/>
          <w:lang w:eastAsia="zh-CN"/>
        </w:rPr>
        <w:t xml:space="preserve">: </w:t>
      </w:r>
      <w:r w:rsidRPr="00DF3A8A">
        <w:rPr>
          <w:rFonts w:eastAsiaTheme="minorEastAsia"/>
          <w:b/>
          <w:bCs/>
          <w:sz w:val="20"/>
          <w:lang w:eastAsia="zh-CN"/>
        </w:rPr>
        <w:t>Support solution with multiple-RTT with prediction based on UE-specific TA report</w:t>
      </w:r>
      <w:r w:rsidRPr="00DF3A8A">
        <w:rPr>
          <w:rFonts w:eastAsiaTheme="minorEastAsia"/>
          <w:sz w:val="20"/>
          <w:lang w:eastAsia="zh-CN"/>
        </w:rPr>
        <w:t>.</w:t>
      </w:r>
    </w:p>
    <w:p w14:paraId="6CC49540" w14:textId="77777777" w:rsidR="00DF3A8A" w:rsidRPr="00DF3A8A" w:rsidRDefault="00DF3A8A" w:rsidP="00DF3A8A">
      <w:pPr>
        <w:pBdr>
          <w:bottom w:val="single" w:sz="6" w:space="1" w:color="auto"/>
        </w:pBdr>
        <w:spacing w:after="120"/>
        <w:jc w:val="both"/>
        <w:rPr>
          <w:rFonts w:eastAsiaTheme="minorEastAsia"/>
          <w:b/>
          <w:bCs/>
          <w:sz w:val="20"/>
          <w:lang w:eastAsia="zh-CN"/>
        </w:rPr>
      </w:pPr>
    </w:p>
    <w:p w14:paraId="39B8D205" w14:textId="4C9EAF29"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Proposal 2: If Proposal 1 is agreed 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10FD4" w14:textId="77777777" w:rsidR="00764698" w:rsidRDefault="00764698" w:rsidP="005F2BBB">
      <w:r>
        <w:separator/>
      </w:r>
    </w:p>
  </w:endnote>
  <w:endnote w:type="continuationSeparator" w:id="0">
    <w:p w14:paraId="424CD450" w14:textId="77777777" w:rsidR="00764698" w:rsidRDefault="00764698"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BEA8A" w14:textId="77777777" w:rsidR="00764698" w:rsidRDefault="00764698" w:rsidP="005F2BBB">
      <w:r>
        <w:separator/>
      </w:r>
    </w:p>
  </w:footnote>
  <w:footnote w:type="continuationSeparator" w:id="0">
    <w:p w14:paraId="5302500E" w14:textId="77777777" w:rsidR="00764698" w:rsidRDefault="00764698"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318A0"/>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F4206"/>
    <w:rsid w:val="00701B02"/>
    <w:rsid w:val="00705469"/>
    <w:rsid w:val="00712321"/>
    <w:rsid w:val="00717031"/>
    <w:rsid w:val="00721C58"/>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5A44"/>
    <w:rsid w:val="00DB5B4F"/>
    <w:rsid w:val="00DC1022"/>
    <w:rsid w:val="00DC2E96"/>
    <w:rsid w:val="00DC7156"/>
    <w:rsid w:val="00DE0B50"/>
    <w:rsid w:val="00DE0C51"/>
    <w:rsid w:val="00DE28AE"/>
    <w:rsid w:val="00DF367D"/>
    <w:rsid w:val="00DF3A8A"/>
    <w:rsid w:val="00DF427C"/>
    <w:rsid w:val="00E108E4"/>
    <w:rsid w:val="00E15F5E"/>
    <w:rsid w:val="00E2034F"/>
    <w:rsid w:val="00E22AD9"/>
    <w:rsid w:val="00E24F52"/>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cp:lastModifiedBy>
  <cp:revision>21</cp:revision>
  <dcterms:created xsi:type="dcterms:W3CDTF">2022-08-09T17:19:00Z</dcterms:created>
  <dcterms:modified xsi:type="dcterms:W3CDTF">2022-09-29T21:18:00Z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